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BBF" w:rsidRPr="00CA5BBF" w:rsidRDefault="00CA5BBF" w:rsidP="00CA5BBF">
      <w:pPr>
        <w:rPr>
          <w:sz w:val="96"/>
          <w:szCs w:val="96"/>
        </w:rPr>
      </w:pPr>
      <w:r w:rsidRPr="00CA5BBF">
        <w:rPr>
          <w:sz w:val="96"/>
          <w:szCs w:val="96"/>
        </w:rPr>
        <w:t>Corazones de piedra</w:t>
      </w:r>
    </w:p>
    <w:p w:rsidR="00CA5BBF" w:rsidRPr="00C05953" w:rsidRDefault="00CA5BBF" w:rsidP="00CA5BBF">
      <w:pPr>
        <w:rPr>
          <w:sz w:val="44"/>
          <w:szCs w:val="44"/>
        </w:rPr>
      </w:pPr>
    </w:p>
    <w:p w:rsidR="00CA5BBF" w:rsidRPr="00C05953" w:rsidRDefault="00CA5BBF" w:rsidP="00CA5BBF">
      <w:pPr>
        <w:rPr>
          <w:sz w:val="44"/>
          <w:szCs w:val="44"/>
        </w:rPr>
      </w:pPr>
      <w:r w:rsidRPr="00C05953">
        <w:rPr>
          <w:sz w:val="44"/>
          <w:szCs w:val="44"/>
        </w:rPr>
        <w:t xml:space="preserve">La síntesis </w:t>
      </w:r>
      <w:r>
        <w:rPr>
          <w:sz w:val="44"/>
          <w:szCs w:val="44"/>
        </w:rPr>
        <w:t xml:space="preserve">del cloudbusting </w:t>
      </w:r>
      <w:r w:rsidRPr="00C05953">
        <w:rPr>
          <w:sz w:val="44"/>
          <w:szCs w:val="44"/>
        </w:rPr>
        <w:t xml:space="preserve">según Wilhelm Reich, el Orga-Urkult (electrocultura </w:t>
      </w:r>
      <w:r>
        <w:rPr>
          <w:sz w:val="44"/>
          <w:szCs w:val="44"/>
        </w:rPr>
        <w:t>pasiva</w:t>
      </w:r>
      <w:r w:rsidRPr="00C05953">
        <w:rPr>
          <w:sz w:val="44"/>
          <w:szCs w:val="44"/>
        </w:rPr>
        <w:t xml:space="preserve">), las torres de energía y los círculos de piedra para la curación suave del clima y la acumulación de </w:t>
      </w:r>
      <w:r>
        <w:rPr>
          <w:sz w:val="44"/>
          <w:szCs w:val="44"/>
        </w:rPr>
        <w:t xml:space="preserve">fuerza vital </w:t>
      </w:r>
      <w:r w:rsidRPr="00C05953">
        <w:rPr>
          <w:sz w:val="44"/>
          <w:szCs w:val="44"/>
        </w:rPr>
        <w:t>para la agricultura.</w:t>
      </w:r>
    </w:p>
    <w:p w:rsidR="00CA5BBF" w:rsidRPr="00C05953" w:rsidRDefault="00CA5BBF" w:rsidP="00CA5BBF"/>
    <w:p w:rsidR="00CA5BBF" w:rsidRPr="00C05953" w:rsidRDefault="00CA5BBF" w:rsidP="00CA5BBF">
      <w:r w:rsidRPr="00C05953">
        <w:t>A principios del verano de 2018, un grupo de científicos se reunió en Fuerteventura para ayudar a los operadores de una granja de hierbas medicinales a crear un mejor microclima para su cultivo de hierba de trigo y cactus kalanchoe. En el momento de la reunión, hacía dos años que no llovía en Fuerteventura. La menguante vitalidad de la naturaleza ya se notaba en el cultivo en el invernadero, los cultivos estaban en un estado preocupante a pesar del riego y los cuidados óptimos. Las plantaciones exteriores, árboles resistentes al calor como la higuera, el limón, la palmera datilera, también habían sufrido ya daños a pesar del riego. La razón era la disminución a gran escala de la energía vital del horizonte del suelo.</w:t>
      </w:r>
    </w:p>
    <w:p w:rsidR="00CA5BBF" w:rsidRPr="00C05953" w:rsidRDefault="00CA5BBF" w:rsidP="00CA5BBF"/>
    <w:p w:rsidR="00CA5BBF" w:rsidRPr="00C05953" w:rsidRDefault="00CA5BBF" w:rsidP="00CA5BBF">
      <w:r w:rsidRPr="00C05953">
        <w:t xml:space="preserve">Ya durante el viaje, pudimos reunir las primeras ideas hablando con Dan Winter en el sur de Francia y visitando una granja de hierbas medicinales cerca de Barcelona. El diseño que queremos presentar con esta documentación se desarrolló entonces durante tres semanas de trabajo intensivo con las condiciones del lugar. Además de sus cualidades científicas, varios miembros del equipo tenían el don de poder manejar el tensor y comunicarse con el espíritu vivo del planeta en la meditación. En consecuencia, la inspiración decisiva llegó a través de una comunicación de acompañamiento con Gaia y de la </w:t>
      </w:r>
      <w:r>
        <w:t xml:space="preserve">prueba continua </w:t>
      </w:r>
      <w:r w:rsidRPr="00C05953">
        <w:t>de todas las ideas, dimensiones y materiales con el tensor.</w:t>
      </w:r>
    </w:p>
    <w:p w:rsidR="00CA5BBF" w:rsidRPr="00C05953" w:rsidRDefault="00CA5BBF" w:rsidP="00CA5BBF"/>
    <w:p w:rsidR="00CA5BBF" w:rsidRPr="00C05953" w:rsidRDefault="00CA5BBF" w:rsidP="00CA5BBF">
      <w:r w:rsidRPr="00C05953">
        <w:t>El objetivo del desarrollo era crear un sistema que no fuera estático ni estuviera controlado por la mano del hombre en el sentido de las operaciones meteorológicas individuales. El objetivo era construir un "cuerpo" que fuera utilizado por el espíritu vivo del planeta para dirigir el clima local. Esta era otra razón por la que la comunicación con Gaia desempeñaba un papel especial. El conocimiento que fluyó vino de muchos años de experiencia con la curación del clima y el aumento de la fertilidad del suelo en diferentes tradiciones, pero fluyó más como conocimiento abstracto sobre la geometría sagrada y la física de campo. Así, bajo la guía de Gaia, este conocimiento previo pudo desarrollarse en un concepto completamente nuevo.</w:t>
      </w:r>
    </w:p>
    <w:p w:rsidR="00CA5BBF" w:rsidRPr="00C05953" w:rsidRDefault="00CA5BBF" w:rsidP="00CA5BBF"/>
    <w:p w:rsidR="00CA5BBF" w:rsidRPr="00C05953" w:rsidRDefault="00CA5BBF" w:rsidP="00CA5BBF">
      <w:r w:rsidRPr="00C05953">
        <w:t xml:space="preserve">La comunicación con Gaia no siempre fue </w:t>
      </w:r>
      <w:r>
        <w:t>edificante</w:t>
      </w:r>
      <w:r w:rsidRPr="00C05953">
        <w:t xml:space="preserve">. En la primera conversación, aceptó ayudar, pero explícitamente "no para esta gente de aquí", con lo que probablemente se refería a los turistas molestos por la lluvia y a los lugareños que habían abandonado casi por completo la jardinería en la isla en favor del turismo. A las primeras ideas descaradas del equipo respondió con un claro "podéis aprender aquí", lo que redujo nuestro papel en el desarrollo posterior del trabajo al de agentes vicarios. La decisión de recurrir a los modelos científicos </w:t>
      </w:r>
      <w:r>
        <w:t xml:space="preserve">y a los </w:t>
      </w:r>
      <w:r w:rsidRPr="00C05953">
        <w:t xml:space="preserve">conceptos probados </w:t>
      </w:r>
      <w:r>
        <w:t xml:space="preserve">parecía ser </w:t>
      </w:r>
      <w:r w:rsidRPr="00C05953">
        <w:t>la única acertada. Sólo así se podían combinar realmente los elementos ya conocidos de una manera nueva.</w:t>
      </w:r>
    </w:p>
    <w:p w:rsidR="00CA5BBF" w:rsidRPr="00C05953" w:rsidRDefault="00CA5BBF" w:rsidP="00CA5BBF"/>
    <w:p w:rsidR="00CA5BBF" w:rsidRPr="00C05953" w:rsidRDefault="00CA5BBF" w:rsidP="00CA5BBF">
      <w:r w:rsidRPr="00C05953">
        <w:t xml:space="preserve">La acupuntura del cielo </w:t>
      </w:r>
      <w:r>
        <w:t xml:space="preserve">(Madjid Abdellaziz), respectiva a </w:t>
      </w:r>
      <w:r w:rsidRPr="00C05953">
        <w:t xml:space="preserve">la técnica del cloudbusting según Wilhelm Reich, se redujo así a un único tubo de cobre en el corazón de las torres; todo lo que quedaba de la Orga-Urkult era el uso de las dos antenas de tres patas, el zinc en el cielo, el cobre en el suelo, y el uso de la tensión galvánica entre el cobre y el zinc. La "Torre de Poder Irlandesa" -cuya construcción había sido el plan original- se convirtió en un modelo en miniatura de un volcán, con la chimenea de basalto, el cono de cenizas y las capas envolventes de lava como estructura básica. La comprensión de que la creación de volcanes es, en realidad, la forma que tiene el planeta de iniciar la fuerza vital en la biosfera era completamente nueva. Los conocimientos de física de campo utilizados en la Orga-Urkult encajaban perfectamente en el concepto de volcán. También desempeñaron un papel decisivo los conocimientos sobre la colocación de los círculos de piedra, en los que se utiliza la orientación magnética de las piedras para guiar los vórtices de flujo magnético. Sin embargo, en el concepto desarrollado, </w:t>
      </w:r>
      <w:r w:rsidRPr="00C05953">
        <w:lastRenderedPageBreak/>
        <w:t>esto no ocurre en un círculo como en las instalaciones de la edad de piedra, sino en líneas espirales que seguían la sección áurea.</w:t>
      </w:r>
    </w:p>
    <w:p w:rsidR="00CA5BBF" w:rsidRPr="00C05953" w:rsidRDefault="00CA5BBF" w:rsidP="00CA5BBF"/>
    <w:p w:rsidR="00CA5BBF" w:rsidRDefault="00CA5BBF" w:rsidP="00CA5BBF">
      <w:r w:rsidRPr="00C05953">
        <w:t>La elección de la geometría básica para el sistema que aquí se presenta corresponde a las doce hojas, la firma del amor, el chakra del corazón, la flor de la rosa - esta es la forma completa de la fuerza vital tal como funciona en nuestro planeta.</w:t>
      </w:r>
    </w:p>
    <w:p w:rsidR="00CA5BBF" w:rsidRDefault="00CA5BBF" w:rsidP="00CA5BBF"/>
    <w:p w:rsidR="00CA5BBF" w:rsidRPr="00C05953" w:rsidRDefault="00CA5BBF" w:rsidP="00CA5BBF">
      <w:bookmarkStart w:id="0" w:name="_GoBack"/>
      <w:r>
        <w:rPr>
          <w:noProof/>
        </w:rPr>
        <w:drawing>
          <wp:anchor distT="0" distB="0" distL="114300" distR="114300" simplePos="0" relativeHeight="251659264" behindDoc="1" locked="0" layoutInCell="1" allowOverlap="0" wp14:anchorId="45C8530A" wp14:editId="31268EC9">
            <wp:simplePos x="0" y="0"/>
            <wp:positionH relativeFrom="column">
              <wp:posOffset>24130</wp:posOffset>
            </wp:positionH>
            <wp:positionV relativeFrom="paragraph">
              <wp:posOffset>48895</wp:posOffset>
            </wp:positionV>
            <wp:extent cx="3417570" cy="3393440"/>
            <wp:effectExtent l="0" t="0" r="0" b="0"/>
            <wp:wrapTight wrapText="bothSides">
              <wp:wrapPolygon edited="0">
                <wp:start x="0" y="0"/>
                <wp:lineTo x="0" y="21503"/>
                <wp:lineTo x="21512" y="21503"/>
                <wp:lineTo x="2151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8-07-01 um 02.57.30.png"/>
                    <pic:cNvPicPr/>
                  </pic:nvPicPr>
                  <pic:blipFill>
                    <a:blip r:embed="rId4">
                      <a:extLst>
                        <a:ext uri="{28A0092B-C50C-407E-A947-70E740481C1C}">
                          <a14:useLocalDpi xmlns:a14="http://schemas.microsoft.com/office/drawing/2010/main" val="0"/>
                        </a:ext>
                      </a:extLst>
                    </a:blip>
                    <a:stretch>
                      <a:fillRect/>
                    </a:stretch>
                  </pic:blipFill>
                  <pic:spPr>
                    <a:xfrm>
                      <a:off x="0" y="0"/>
                      <a:ext cx="3417570" cy="3393440"/>
                    </a:xfrm>
                    <a:prstGeom prst="rect">
                      <a:avLst/>
                    </a:prstGeom>
                  </pic:spPr>
                </pic:pic>
              </a:graphicData>
            </a:graphic>
            <wp14:sizeRelH relativeFrom="margin">
              <wp14:pctWidth>0</wp14:pctWidth>
            </wp14:sizeRelH>
            <wp14:sizeRelV relativeFrom="margin">
              <wp14:pctHeight>0</wp14:pctHeight>
            </wp14:sizeRelV>
          </wp:anchor>
        </w:drawing>
      </w:r>
      <w:bookmarkEnd w:id="0"/>
      <w:r w:rsidRPr="00C05953">
        <w:t xml:space="preserve">La característica especial de la </w:t>
      </w:r>
      <w:r>
        <w:t xml:space="preserve">piña de 12 pliegues </w:t>
      </w:r>
      <w:r w:rsidRPr="00C05953">
        <w:t xml:space="preserve">es que las líneas de flujo magnético, tal como se producen en los campos de torsión, se cruzan en un ángulo perfecto de 30 grados en todos los puntos de intersección. Este es uno de los ángulos en los que "los campos longitudinales pueden combinarse para formar potenciales escalares". Es decir, esta forma forma ángulos en los que se puede crear </w:t>
      </w:r>
      <w:r>
        <w:t xml:space="preserve">fuerza vital </w:t>
      </w:r>
      <w:r w:rsidRPr="00C05953">
        <w:t xml:space="preserve">a partir del flujo magnético. </w:t>
      </w:r>
    </w:p>
    <w:p w:rsidR="00CA5BBF" w:rsidRPr="00C05953" w:rsidRDefault="00CA5BBF" w:rsidP="00CA5BBF"/>
    <w:p w:rsidR="00CA5BBF" w:rsidRPr="00C05953" w:rsidRDefault="00CA5BBF" w:rsidP="00CA5BBF">
      <w:r w:rsidRPr="00C05953">
        <w:t xml:space="preserve">Alinear las piedras en el terreno según su orientación magnética no es fácil. Utilizar una brújula es difícil porque siempre muestra también el campo magnético terrestre. Por lo tanto, comprobamos la orientación correcta de cada una de las piedras con el tensor. Afortunadamente, dos de los empleados eran lo suficientemente sensibles como para poder percibir directamente el flujo magnético, por lo que su tasa de error al colocar las piedras de forma intuitiva era tan baja que podían colocar las piedras libremente según su percepción del campo. Esto permitió ahorrar mucho tiempo con un total de 240 metros de hileras o muros de piedra. </w:t>
      </w:r>
    </w:p>
    <w:p w:rsidR="00CA5BBF" w:rsidRPr="00C05953" w:rsidRDefault="00CA5BBF" w:rsidP="00CA5BBF"/>
    <w:p w:rsidR="00CA5BBF" w:rsidRPr="00C05953" w:rsidRDefault="00CA5BBF" w:rsidP="00CA5BBF">
      <w:r w:rsidRPr="00C05953">
        <w:t>Así se encontró la forma básica, la de doce hojas con una torre de poder en el centro.</w:t>
      </w:r>
    </w:p>
    <w:p w:rsidR="00CA5BBF" w:rsidRDefault="00CA5BBF" w:rsidP="00CA5BBF"/>
    <w:p w:rsidR="00CA5BBF" w:rsidRPr="00C05953" w:rsidRDefault="00CA5BBF" w:rsidP="00CA5BBF">
      <w:r w:rsidRPr="00C05953">
        <w:t xml:space="preserve">El primer reto fue elegir la ubicación. Elegimos dos métodos de votación diferentes: "la ubicación de la fuerza más fuerte en el sitio disponible" y "el lugar donde Gaia quiere que esté el sitio". La primera consulta dio resultados claros en una prueba doblemente ciega, la segunda dio dos puntos posibles </w:t>
      </w:r>
      <w:r>
        <w:t>completamente diferentes</w:t>
      </w:r>
      <w:r w:rsidRPr="00C05953">
        <w:t xml:space="preserve">, estos estaban </w:t>
      </w:r>
      <w:proofErr w:type="gramStart"/>
      <w:r w:rsidRPr="00C05953">
        <w:t>a 4,5 metros</w:t>
      </w:r>
      <w:proofErr w:type="gramEnd"/>
      <w:r w:rsidRPr="00C05953">
        <w:t xml:space="preserve"> de distancia, y uno de los dos estaba exactamente a 18 metros de la ubicación de la fuerza principal. Al preguntarle a Gaia nos dio la última respuesta de la anciana: "No sois los únicos que estáis aquí, tengo otras cosas que hacer". Cuando preguntamos a qué distancia de la central eléctrica principal debíamos construir, la respuesta fue 18 metros. Eso fue una clara desestimación de uno de los otros dos puntos. 18 metros son 2 x 3 x 3, siendo dos metros la unidad de medida básica más importante en el escalado global, las distancias de la red Hartmann así como la longitud de onda de la comunicación del ADN, siendo 3 el factor </w:t>
      </w:r>
      <w:proofErr w:type="gramStart"/>
      <w:r w:rsidRPr="00C05953">
        <w:t>con</w:t>
      </w:r>
      <w:proofErr w:type="gramEnd"/>
      <w:r w:rsidRPr="00C05953">
        <w:t xml:space="preserve"> el que se realiza el escalado en la biología fractal. De este modo</w:t>
      </w:r>
      <w:r>
        <w:t xml:space="preserve">, </w:t>
      </w:r>
      <w:r w:rsidRPr="00C05953">
        <w:t xml:space="preserve">habíamos encontrado la ubicación para la torre principal. La distancia de 4,5 metros también está en el fractal, pero con la inclusión de la teoría armónica, es el "primer armónico de 9". </w:t>
      </w:r>
    </w:p>
    <w:p w:rsidR="00CA5BBF" w:rsidRPr="00C05953" w:rsidRDefault="00CA5BBF" w:rsidP="00CA5BBF"/>
    <w:p w:rsidR="00CA5BBF" w:rsidRPr="00C05953" w:rsidRDefault="00CA5BBF" w:rsidP="00CA5BBF">
      <w:r w:rsidRPr="00C05953">
        <w:t>En ese momento ya habíamos barajado la idea de construir un modelo más pequeño antes de levantar la torre principal, para ver si nuestro concepto funcionaba. Así que se nos ocurrió la idea de construir un fractal a tres escalas. La "madre", sin instalaciones, para no restringir en absoluto el espíritu del planeta, la "hija", dos escalones más pequeña, y el "nieto" que coincidiera con el primer armónico de la siguiente escala más pequeña.</w:t>
      </w:r>
    </w:p>
    <w:p w:rsidR="00CA5BBF" w:rsidRPr="00C05953" w:rsidRDefault="00CA5BBF" w:rsidP="00CA5BBF"/>
    <w:p w:rsidR="00CA5BBF" w:rsidRPr="00C05953" w:rsidRDefault="00CA5BBF" w:rsidP="00CA5BBF"/>
    <w:p w:rsidR="00CA5BBF" w:rsidRPr="00C05953" w:rsidRDefault="00CA5BBF" w:rsidP="00CA5BBF">
      <w:r>
        <w:rPr>
          <w:noProof/>
        </w:rPr>
        <w:lastRenderedPageBreak/>
        <w:drawing>
          <wp:inline distT="0" distB="0" distL="0" distR="0" wp14:anchorId="2F408665" wp14:editId="59708E35">
            <wp:extent cx="5334000" cy="754855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_Steinherz-Anlage.pdf"/>
                    <pic:cNvPicPr/>
                  </pic:nvPicPr>
                  <pic:blipFill>
                    <a:blip r:embed="rId5">
                      <a:extLst>
                        <a:ext uri="{28A0092B-C50C-407E-A947-70E740481C1C}">
                          <a14:useLocalDpi xmlns:a14="http://schemas.microsoft.com/office/drawing/2010/main" val="0"/>
                        </a:ext>
                      </a:extLst>
                    </a:blip>
                    <a:stretch>
                      <a:fillRect/>
                    </a:stretch>
                  </pic:blipFill>
                  <pic:spPr>
                    <a:xfrm>
                      <a:off x="0" y="0"/>
                      <a:ext cx="5340985" cy="7558440"/>
                    </a:xfrm>
                    <a:prstGeom prst="rect">
                      <a:avLst/>
                    </a:prstGeom>
                  </pic:spPr>
                </pic:pic>
              </a:graphicData>
            </a:graphic>
          </wp:inline>
        </w:drawing>
      </w:r>
    </w:p>
    <w:p w:rsidR="00CA5BBF" w:rsidRPr="00C05953" w:rsidRDefault="00CA5BBF" w:rsidP="00CA5BBF"/>
    <w:p w:rsidR="00CA5BBF" w:rsidRPr="00C05953" w:rsidRDefault="00CA5BBF" w:rsidP="00CA5BBF"/>
    <w:p w:rsidR="00CA5BBF" w:rsidRPr="00C05953" w:rsidRDefault="00CA5BBF" w:rsidP="00CA5BBF">
      <w:r w:rsidRPr="00C05953">
        <w:t>Colocamos los corazones de piedra del modelo más pequeño como piedras individuales en hileras en el suelo. Para la torre principal, cavamos zanjas de unos 20 cm de profundidad y colocamos los círculos de piedra como paredes.</w:t>
      </w:r>
    </w:p>
    <w:p w:rsidR="00CA5BBF" w:rsidRPr="00C05953" w:rsidRDefault="00CA5BBF" w:rsidP="00CA5BBF"/>
    <w:p w:rsidR="00CA5BBF" w:rsidRPr="00C05953" w:rsidRDefault="00CA5BBF" w:rsidP="00CA5BBF">
      <w:r w:rsidRPr="00C05953">
        <w:lastRenderedPageBreak/>
        <w:t xml:space="preserve"> </w:t>
      </w:r>
      <w:r>
        <w:rPr>
          <w:noProof/>
        </w:rPr>
        <w:drawing>
          <wp:inline distT="0" distB="0" distL="0" distR="0" wp14:anchorId="4E0C65F6" wp14:editId="4CB07EFC">
            <wp:extent cx="5984867" cy="8483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_Mauer-Anlage.pdf"/>
                    <pic:cNvPicPr/>
                  </pic:nvPicPr>
                  <pic:blipFill>
                    <a:blip r:embed="rId6">
                      <a:extLst>
                        <a:ext uri="{28A0092B-C50C-407E-A947-70E740481C1C}">
                          <a14:useLocalDpi xmlns:a14="http://schemas.microsoft.com/office/drawing/2010/main" val="0"/>
                        </a:ext>
                      </a:extLst>
                    </a:blip>
                    <a:stretch>
                      <a:fillRect/>
                    </a:stretch>
                  </pic:blipFill>
                  <pic:spPr>
                    <a:xfrm>
                      <a:off x="0" y="0"/>
                      <a:ext cx="6040246" cy="8562100"/>
                    </a:xfrm>
                    <a:prstGeom prst="rect">
                      <a:avLst/>
                    </a:prstGeom>
                  </pic:spPr>
                </pic:pic>
              </a:graphicData>
            </a:graphic>
          </wp:inline>
        </w:drawing>
      </w:r>
    </w:p>
    <w:p w:rsidR="00CA5BBF" w:rsidRPr="00C05953" w:rsidRDefault="00CA5BBF" w:rsidP="00CA5BBF"/>
    <w:p w:rsidR="00CA5BBF" w:rsidRPr="00C05953" w:rsidRDefault="00CA5BBF" w:rsidP="00CA5BBF">
      <w:r w:rsidRPr="00C05953">
        <w:t xml:space="preserve">Por supuesto, la alineación de las piedras de basalto en los puntos de cruce de las líneas era problemática. En la biología humana, el cuerpo utiliza tres nanocristales diferentes para crear un campo 3D de conciencia, magnetita </w:t>
      </w:r>
      <w:r w:rsidRPr="00C05953">
        <w:lastRenderedPageBreak/>
        <w:t xml:space="preserve">para los campos gravomagnéticos, calcita para los campos escalares y apatita para los campos electromagnéticos. Cada uno de los tres campos se cruza en ángulo recto para construir un campo 3D de conciencia. Como debería haber un desacoplamiento del flujo magnético en el potencial escalar en los puntos de cruce de las líneas, los puntos de cruce se cubrieron en consecuencia con piedra caliza </w:t>
      </w:r>
      <w:r>
        <w:t xml:space="preserve">sedimentaria </w:t>
      </w:r>
      <w:r w:rsidRPr="00C05953">
        <w:t>o coralina (calcita).</w:t>
      </w:r>
    </w:p>
    <w:p w:rsidR="00CA5BBF" w:rsidRPr="00C05953" w:rsidRDefault="00CA5BBF" w:rsidP="00CA5BBF"/>
    <w:p w:rsidR="00CA5BBF" w:rsidRPr="00C05953" w:rsidRDefault="00CA5BBF" w:rsidP="00CA5BBF">
      <w:r w:rsidRPr="00C05953">
        <w:t>El correspondiente patrón de "piña" con los ángulos de 30 grados debería fluir ahora hacia la torre, formando así la base de un campo toroidal. Un cono hiperbólico como el de un volcán real habría sido sin duda óptimo aquí. Sin embargo, por razones constructivas, elegimos una transición más angular. Así era más fácil: la geometría sagrada con los ángulos de 30 grados sólo tenía que continuarse en un cilindro o superficie, no en una superficie curvada en dos direcciones.</w:t>
      </w:r>
    </w:p>
    <w:p w:rsidR="00CA5BBF" w:rsidRPr="00C05953" w:rsidRDefault="00CA5BBF" w:rsidP="00CA5BBF"/>
    <w:p w:rsidR="00CA5BBF" w:rsidRPr="00C05953" w:rsidRDefault="00CA5BBF" w:rsidP="00CA5BBF">
      <w:r w:rsidRPr="00C05953">
        <w:t xml:space="preserve"> </w:t>
      </w:r>
      <w:r>
        <w:rPr>
          <w:noProof/>
        </w:rPr>
        <w:drawing>
          <wp:inline distT="0" distB="0" distL="0" distR="0" wp14:anchorId="2A04639D" wp14:editId="056E3E41">
            <wp:extent cx="4572000" cy="648084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_Steinherzen_Seite.pdf"/>
                    <pic:cNvPicPr/>
                  </pic:nvPicPr>
                  <pic:blipFill>
                    <a:blip r:embed="rId7">
                      <a:extLst>
                        <a:ext uri="{28A0092B-C50C-407E-A947-70E740481C1C}">
                          <a14:useLocalDpi xmlns:a14="http://schemas.microsoft.com/office/drawing/2010/main" val="0"/>
                        </a:ext>
                      </a:extLst>
                    </a:blip>
                    <a:stretch>
                      <a:fillRect/>
                    </a:stretch>
                  </pic:blipFill>
                  <pic:spPr>
                    <a:xfrm>
                      <a:off x="0" y="0"/>
                      <a:ext cx="4580603" cy="6493044"/>
                    </a:xfrm>
                    <a:prstGeom prst="rect">
                      <a:avLst/>
                    </a:prstGeom>
                  </pic:spPr>
                </pic:pic>
              </a:graphicData>
            </a:graphic>
          </wp:inline>
        </w:drawing>
      </w:r>
    </w:p>
    <w:p w:rsidR="00CA5BBF" w:rsidRPr="00C05953" w:rsidRDefault="00CA5BBF" w:rsidP="00CA5BBF"/>
    <w:p w:rsidR="00CA5BBF" w:rsidRPr="00C05953" w:rsidRDefault="00CA5BBF" w:rsidP="00CA5BBF"/>
    <w:p w:rsidR="00CA5BBF" w:rsidRPr="00C05953" w:rsidRDefault="00CA5BBF" w:rsidP="00CA5BBF"/>
    <w:p w:rsidR="00CA5BBF" w:rsidRPr="00C05953" w:rsidRDefault="00CA5BBF" w:rsidP="00CA5BBF">
      <w:r w:rsidRPr="00C05953">
        <w:t xml:space="preserve">La inspiración para la estructura en capas de la torre vino en parte de la analogía con el cono volcánico, y en parte del funcionamiento del reactor </w:t>
      </w:r>
      <w:r>
        <w:t xml:space="preserve">GEET, </w:t>
      </w:r>
      <w:r w:rsidRPr="00C05953">
        <w:t>que también construye un campo de potencial escalar muy intenso.</w:t>
      </w:r>
    </w:p>
    <w:p w:rsidR="00CA5BBF" w:rsidRDefault="00CA5BBF" w:rsidP="00CA5BBF"/>
    <w:p w:rsidR="00CA5BBF" w:rsidRDefault="00CA5BBF" w:rsidP="00CA5BBF"/>
    <w:p w:rsidR="00CA5BBF" w:rsidRDefault="00CA5BBF" w:rsidP="00CA5BBF"/>
    <w:p w:rsidR="00CA5BBF" w:rsidRDefault="00CA5BBF" w:rsidP="00CA5BBF"/>
    <w:p w:rsidR="00CA5BBF" w:rsidRDefault="00CA5BBF" w:rsidP="00CA5BBF">
      <w:r>
        <w:rPr>
          <w:noProof/>
        </w:rPr>
        <w:drawing>
          <wp:inline distT="0" distB="0" distL="0" distR="0" wp14:anchorId="7156EA46" wp14:editId="2E667525">
            <wp:extent cx="5756910" cy="81470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_Steinherzen_Querschnitt.pdf"/>
                    <pic:cNvPicPr/>
                  </pic:nvPicPr>
                  <pic:blipFill>
                    <a:blip r:embed="rId8">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rsidR="00CA5BBF" w:rsidRDefault="00CA5BBF" w:rsidP="00CA5BBF"/>
    <w:p w:rsidR="00CA5BBF" w:rsidRDefault="00CA5BBF" w:rsidP="00CA5BBF"/>
    <w:p w:rsidR="00CA5BBF" w:rsidRPr="00C05953" w:rsidRDefault="00CA5BBF" w:rsidP="00CA5BBF"/>
    <w:p w:rsidR="00CA5BBF" w:rsidRPr="00C05953" w:rsidRDefault="00CA5BBF" w:rsidP="00CA5BBF"/>
    <w:p w:rsidR="00CA5BBF" w:rsidRDefault="00CA5BBF" w:rsidP="00CA5BBF">
      <w:r w:rsidRPr="00C05953">
        <w:t xml:space="preserve">Mientras que los muros de piedra captan el flujo gravo-magnético como antenas y lo guían hacia la torre, el par de antenas de tres patas de la Orga </w:t>
      </w:r>
      <w:r>
        <w:t xml:space="preserve">Urkult </w:t>
      </w:r>
      <w:r w:rsidRPr="00C05953">
        <w:t xml:space="preserve">se utilizó para el flujo electromagnético. Las dos antenas inducen a su vez un campo electromagnético de torsión, en el que la antena de zinc recoge la carga libre del aire mientras que la de cobre recoge el potencial eléctrico de la tierra. </w:t>
      </w:r>
      <w:r w:rsidRPr="00C76799">
        <w:rPr>
          <w:lang w:val="de-DE"/>
        </w:rPr>
        <w:t xml:space="preserve">La antena de cobre está fundida en los cimientos de la torre, las antenas de zinc están montadas en el exterior del cilindro de zinc. </w:t>
      </w:r>
      <w:r w:rsidRPr="00C05953">
        <w:t xml:space="preserve">El campo eléctrico entre los dos polos es entonces horizontal entre el cilindro de zinc de la torre y el tubo interior de cobre. La forma simétrica de las antenas crea campos de torsión opuestos, lo que también provoca una "conjugación de fases", pero no en un ángulo de 30 grados, sino de 180 grados. Esto significa que el campo eléctrico también empuja una componente en el rango escalar. La componente gravomagnética de los corazones de piedra y la componente del campo electromagnético de </w:t>
      </w:r>
      <w:r>
        <w:t xml:space="preserve">las antenas de Urkult </w:t>
      </w:r>
      <w:r w:rsidRPr="00C05953">
        <w:t>son perpendiculares entre sí y, por tanto, pueden acoplarse por su parte. La tensión galvánica entre el zinc y el cobre proporciona un potencial eléctrico adicional a la tensión atmosférica, de modo que el sistema, al igual que la Urkult, se las arregla sin una fuente de energía técnica. Las capas de harina de basalto con electrolito de boro/magnesio y de hormigón de basalto con ormus aíslan los dos componentes metálicos entre sí y forman el electrolito. Un brazo de la antena de cobre debe estar orientado exactamente hacia el sur, y otro de la antena de zinc hacia el norte.</w:t>
      </w:r>
    </w:p>
    <w:p w:rsidR="00CA5BBF" w:rsidRDefault="00CA5BBF" w:rsidP="00CA5BBF"/>
    <w:p w:rsidR="00CA5BBF" w:rsidRDefault="00CA5BBF" w:rsidP="00CA5BBF"/>
    <w:p w:rsidR="00CA5BBF" w:rsidRDefault="00CA5BBF" w:rsidP="00CA5BBF"/>
    <w:p w:rsidR="00CA5BBF" w:rsidRDefault="00CA5BBF" w:rsidP="00CA5BBF">
      <w:r>
        <w:rPr>
          <w:noProof/>
        </w:rPr>
        <w:drawing>
          <wp:anchor distT="0" distB="0" distL="114300" distR="114300" simplePos="0" relativeHeight="251660288" behindDoc="1" locked="0" layoutInCell="1" allowOverlap="1" wp14:anchorId="2BA8CDB5" wp14:editId="05E85440">
            <wp:simplePos x="0" y="0"/>
            <wp:positionH relativeFrom="column">
              <wp:posOffset>626745</wp:posOffset>
            </wp:positionH>
            <wp:positionV relativeFrom="paragraph">
              <wp:posOffset>67945</wp:posOffset>
            </wp:positionV>
            <wp:extent cx="5191125" cy="735457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rm-Antennen.pdf"/>
                    <pic:cNvPicPr/>
                  </pic:nvPicPr>
                  <pic:blipFill>
                    <a:blip r:embed="rId9">
                      <a:extLst>
                        <a:ext uri="{28A0092B-C50C-407E-A947-70E740481C1C}">
                          <a14:useLocalDpi xmlns:a14="http://schemas.microsoft.com/office/drawing/2010/main" val="0"/>
                        </a:ext>
                      </a:extLst>
                    </a:blip>
                    <a:stretch>
                      <a:fillRect/>
                    </a:stretch>
                  </pic:blipFill>
                  <pic:spPr>
                    <a:xfrm>
                      <a:off x="0" y="0"/>
                      <a:ext cx="5191125" cy="7354570"/>
                    </a:xfrm>
                    <a:prstGeom prst="rect">
                      <a:avLst/>
                    </a:prstGeom>
                  </pic:spPr>
                </pic:pic>
              </a:graphicData>
            </a:graphic>
            <wp14:sizeRelH relativeFrom="margin">
              <wp14:pctWidth>0</wp14:pctWidth>
            </wp14:sizeRelH>
            <wp14:sizeRelV relativeFrom="margin">
              <wp14:pctHeight>0</wp14:pctHeight>
            </wp14:sizeRelV>
          </wp:anchor>
        </w:drawing>
      </w:r>
    </w:p>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p w:rsidR="00CA5BBF" w:rsidRDefault="00CA5BBF" w:rsidP="00CA5BBF">
      <w:r w:rsidRPr="00C05953">
        <w:lastRenderedPageBreak/>
        <w:t>El último elemento del sistema consiste en un conjunto de cristales. Dado que el objetivo declarado era integrar la conciencia de Gaia y entregarle el control de la planta, además de la magnetita en el basalto y la calcita en las calizas, también se incorporaron calcita, magnetita y apatita en calidad de gema o cristal único. De este modo, ambas torres con sus brazos en espiral forman los sistemas de coordenadas del espacio de la conciencia que estos cristales van a crear. La magnetita y la calcita se colocaron en los puntos de cruce exteriores de los corazones de piedra, la magnetita en el sur, la calcita en el este, mientras que la apatita se colocó sobre el punto de salida del tubo de cobre. Así, los cristales marcan puntos en cada uno de los 3 ejes del sistema de coordenadas. Además, se utilizaron círculos de pirita para proteger el sistema y citrinos para mantener limpios los demás cristales. La colocación de los citrinos se hizo a tientas. Se dio forma a una drusa de cristal para coordinar la función de las otras piedras. La drusa quedó fuera de la instalación y se utilizará para la comunicación. Para la selección y programación de las piedras es bueno contar con alguien que ya trabaje con cristales. La programación de los cristales se realiza en contacto mutuo antes de colocarlos en su ubicación definitiva. No deben ser tocados por nadie más entre la impresión y la colocación.</w:t>
      </w:r>
    </w:p>
    <w:p w:rsidR="00CA5BBF" w:rsidRDefault="00CA5BBF" w:rsidP="00CA5BBF">
      <w:pPr>
        <w:rPr>
          <w:noProof/>
        </w:rPr>
      </w:pPr>
    </w:p>
    <w:p w:rsidR="00CA5BBF" w:rsidRDefault="00CA5BBF" w:rsidP="00CA5BBF">
      <w:pPr>
        <w:rPr>
          <w:noProof/>
        </w:rPr>
      </w:pPr>
    </w:p>
    <w:p w:rsidR="00CA5BBF" w:rsidRDefault="00CA5BBF" w:rsidP="00CA5BBF">
      <w:pPr>
        <w:rPr>
          <w:noProof/>
        </w:rPr>
      </w:pPr>
      <w:r>
        <w:rPr>
          <w:rFonts w:ascii="Helvetica" w:hAnsi="Helvetica" w:cs="Helvetica"/>
          <w:noProof/>
        </w:rPr>
        <w:drawing>
          <wp:inline distT="0" distB="0" distL="0" distR="0" wp14:anchorId="3CF4D745" wp14:editId="17F33880">
            <wp:extent cx="6104544" cy="471424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0718" cy="4749898"/>
                    </a:xfrm>
                    <a:prstGeom prst="rect">
                      <a:avLst/>
                    </a:prstGeom>
                    <a:noFill/>
                    <a:ln>
                      <a:noFill/>
                    </a:ln>
                  </pic:spPr>
                </pic:pic>
              </a:graphicData>
            </a:graphic>
          </wp:inline>
        </w:drawing>
      </w:r>
    </w:p>
    <w:p w:rsidR="00CA5BBF" w:rsidRDefault="00CA5BBF" w:rsidP="00CA5BBF">
      <w:pPr>
        <w:rPr>
          <w:noProof/>
        </w:rPr>
      </w:pPr>
    </w:p>
    <w:p w:rsidR="00CA5BBF" w:rsidRPr="00C05953" w:rsidRDefault="00CA5BBF" w:rsidP="00CA5BBF"/>
    <w:p w:rsidR="00CA5BBF" w:rsidRDefault="00CA5BBF" w:rsidP="00CA5BBF">
      <w:r w:rsidRPr="00C05953">
        <w:t xml:space="preserve">Incluso antes de que la planta estuviera terminada, los colores alrededor de la granja de hierbas medicinales cambiaron. Cayó más rocío por la noche. Tras la instalación de las antenas Orga Urkult, los patrones de viento reaccionaron por primera vez y las nubes se dirigieron juntas desde todas las direcciones del cielo hacia la planta. Veinte minutos después, se produjo el primer chubasco localizado. Al partir, las nubes de lluvia de color negro intenso se desplazaron por la isla. Desde el 26 de mayo de 2018 hasta el 15 de junio hubo chubascos ligeros diarios en toda Fuerteventura. </w:t>
      </w:r>
      <w:r>
        <w:t>Estamos entusiasmados con la próxima temporada de lluvias.</w:t>
      </w:r>
    </w:p>
    <w:p w:rsidR="002845BC" w:rsidRDefault="00CA5BBF"/>
    <w:sectPr w:rsidR="002845BC" w:rsidSect="00B235E6">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BBF"/>
    <w:rsid w:val="008834A1"/>
    <w:rsid w:val="00A01C7E"/>
    <w:rsid w:val="00B235E6"/>
    <w:rsid w:val="00CA5B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4BAE4B4"/>
  <w14:defaultImageDpi w14:val="32767"/>
  <w15:chartTrackingRefBased/>
  <w15:docId w15:val="{B3D9D1E6-2959-0A48-82B2-619E22463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A5BBF"/>
    <w:rPr>
      <w:rFonts w:ascii="Times New Roman" w:eastAsia="Times New Roman" w:hAnsi="Times New Roman" w:cs="Times New Roman"/>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nul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2056</Words>
  <Characters>10754</Characters>
  <Application>Microsoft Office Word</Application>
  <DocSecurity>0</DocSecurity>
  <Lines>168</Lines>
  <Paragraphs>43</Paragraphs>
  <ScaleCrop>false</ScaleCrop>
  <Company/>
  <LinksUpToDate>false</LinksUpToDate>
  <CharactersWithSpaces>12767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Microsoft Office-Benutzer</cp:lastModifiedBy>
  <cp:revision>1</cp:revision>
  <dcterms:created xsi:type="dcterms:W3CDTF">2021-06-19T08:35:00Z</dcterms:created>
  <dcterms:modified xsi:type="dcterms:W3CDTF">2021-06-19T08:36:00Z</dcterms:modified>
</cp:coreProperties>
</file>